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GID Board Meeting Minutes</w:t>
      </w:r>
    </w:p>
    <w:p w:rsidR="00000000" w:rsidDel="00000000" w:rsidP="00000000" w:rsidRDefault="00000000" w:rsidRPr="00000000" w14:paraId="00000002">
      <w:pPr>
        <w:ind w:left="0" w:firstLine="0"/>
        <w:rPr>
          <w:sz w:val="21"/>
          <w:szCs w:val="21"/>
        </w:rPr>
      </w:pPr>
      <w:r>
        <w:t>04.22.2026</w:t>
      </w:r>
    </w:p>
    <w:p w:rsidR="00000000" w:rsidDel="00000000" w:rsidP="00000000" w:rsidRDefault="00000000" w:rsidRPr="00000000" w14:paraId="00000003">
      <w:pPr>
        <w:ind w:left="720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Called to order 10:35am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Audit Results – CLA (Allison Slife, Hannah Wiers, Molly Quinn)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Context: prior auditor failed peer review; engaged CLA via City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Unmodified (clean) opinion issued – highest opinion available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Material Weaknesses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Segregation of duties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Lack of capitalization of assets policy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Significant Deficiency: financial statement close and review process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Management Letter Recommendations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Documentation of shared expense allocations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2025 budget did not include required debt service payments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2024 property tax accrual used gross rather than net assessed value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Implement dual-factor authentication on Google Drive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Corrected misstatements: ~$9K debt principal, ~$7K AR/revenue (2024), ~$24K AP/expenses (2024), ~$38K sign capitalization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Uncorrected misstatement: ~$29K on 2024 property tax receivable, zero net impact to fund balance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Negative net position not unusual given district debt structure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Ideal change in net position trends toward zero for this entity type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Monthly Rachel/Malcolm/Timsha financial review, if formally documented, would satisfy segregation of duties control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CLA to share GFOA best practices link for policy/reserve guidance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Audit signature to come from Board Chair per ordinance (Rachel confirming)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2025 mill levy assessment error pending City guidance; materiality will determine restatement vs. go-forward treatment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Voting Matters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March Financials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Light month; lease buyout largest non-routine item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RAD website access negotiated as part of Edens lease buyout; GID website in development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Motion to approve, second, approved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GID-BID Cooperative Services Funding Agreement (replaces prior agreement)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Formula: 50/50 base + 3% per 1,000 GID residents, capped at 85% GID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~6,000 residents → 68/32 split (GID/BID) for shared services within GID boundaries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BID pays 100% outside of BID boundaries within GID; reassessed every 5 years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Projected 2026 clean &amp; safe cost to GID ~$253K, under $275K budget, with Block by Block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Each expenditure still requires individual board vote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Motion to approve, second, approved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Landscaping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Environmental Designs selected; $96K vs. $125K budget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Strong references (Centennial Parks and Trails, Gaylord Hotel, City of Golden)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Site walk Friday with landscape architect and installer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Holding off on tree planting this year due to water restrictions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Denver Water exemption permit available for native/drought-resistant plantings during establishment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Contract to be circulated for electronic board vote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Brighton landscape maintenance paid from Brighton restricted funds; not subject to GID/BID split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Consider threshold that triggers GID/BID split for other shared work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Capital Improvement Plan and Asset Management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Community survey (Google form) to be circulated to board first, then mailed via postcard with QR codes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Feedback target deadline May 20 ahead of May board meeting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Run proposals through Summit Street Group model at May meeting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Target: walk out of May meeting with prioritized 1/3/5/10 year plan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Asset inventory in progress with City and BID (signs, benches, lighting) to clarify ownership and maintenance responsibility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GID can pull permits and build on public right-of-way directly – prior guidance was incorrect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City co-funding may trigger additional requirements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Explore on-call contractor contracts (design, engineering, construction) to speed execution; confirm procurement rules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Ordinance Amendment and City Liaison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Bundling: board member approvals, city liaison language change, 2026 budget amendment (add debt service), mill levy assessment response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Councilman Watson willing to appoint GID liaison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Deciding between amending ordinance language or having Councilman request reappointment from Amy Ford directly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21"/>
          <w:szCs w:val="21"/>
          <w:u w:val="none"/>
        </w:rPr>
      </w:pPr>
      <w:r w:rsidDel="00000000" w:rsidR="00000000" w:rsidRPr="00000000">
        <w:rPr>
          <w:sz w:val="21"/>
          <w:szCs w:val="21"/>
          <w:rtl w:val="0"/>
        </w:rPr>
        <w:t xml:space="preserve">Rachel confirming City Council docket timing</w:t>
      </w:r>
    </w:p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